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E7" w:rsidRPr="000612E7" w:rsidRDefault="000612E7" w:rsidP="000612E7">
      <w:pPr>
        <w:widowControl/>
        <w:spacing w:before="100" w:beforeAutospacing="1" w:after="100" w:afterAutospacing="1"/>
        <w:rPr>
          <w:rFonts w:ascii="新細明體" w:eastAsia="新細明體" w:hAnsi="新細明體" w:cs="新細明體"/>
          <w:color w:val="333333"/>
          <w:kern w:val="0"/>
          <w:szCs w:val="24"/>
        </w:rPr>
      </w:pPr>
      <w:r w:rsidRPr="000612E7">
        <w:rPr>
          <w:rFonts w:ascii="Times New Roman" w:eastAsia="新細明體" w:hAnsi="Times New Roman" w:cs="新細明體" w:hint="eastAsia"/>
          <w:b/>
          <w:bCs/>
          <w:color w:val="333333"/>
          <w:kern w:val="0"/>
          <w:szCs w:val="24"/>
        </w:rPr>
        <w:t>臺灣地區公務員及特定身分人員進入大陸地區許可辦法第八條修正草案總說明</w:t>
      </w:r>
    </w:p>
    <w:p w:rsidR="000612E7" w:rsidRPr="000612E7" w:rsidRDefault="000612E7" w:rsidP="000612E7">
      <w:pPr>
        <w:widowControl/>
        <w:spacing w:before="100" w:beforeAutospacing="1" w:after="100" w:afterAutospacing="1"/>
        <w:ind w:firstLine="440"/>
        <w:rPr>
          <w:rFonts w:ascii="新細明體" w:eastAsia="新細明體" w:hAnsi="新細明體" w:cs="新細明體"/>
          <w:color w:val="333333"/>
          <w:kern w:val="0"/>
          <w:szCs w:val="24"/>
        </w:rPr>
      </w:pPr>
      <w:r w:rsidRPr="000612E7">
        <w:rPr>
          <w:rFonts w:ascii="Times New Roman" w:eastAsia="新細明體" w:hAnsi="Times New Roman" w:cs="新細明體" w:hint="eastAsia"/>
          <w:color w:val="333333"/>
          <w:kern w:val="0"/>
          <w:szCs w:val="24"/>
        </w:rPr>
        <w:t>臺灣地區公務員及特定身分人員進入大陸地區許可辦法（以下簡稱本辦法），於八十二年四月三十日發布施行後，曾歷經九次修正施行，最近一次修正為九十九年九月一日。</w:t>
      </w:r>
    </w:p>
    <w:p w:rsidR="000612E7" w:rsidRPr="000612E7" w:rsidRDefault="000612E7" w:rsidP="000612E7">
      <w:pPr>
        <w:widowControl/>
        <w:spacing w:before="100" w:beforeAutospacing="1" w:after="100" w:afterAutospacing="1"/>
        <w:ind w:firstLine="440"/>
        <w:rPr>
          <w:rFonts w:ascii="新細明體" w:eastAsia="新細明體" w:hAnsi="新細明體" w:cs="新細明體"/>
          <w:color w:val="333333"/>
          <w:kern w:val="0"/>
          <w:szCs w:val="24"/>
        </w:rPr>
      </w:pPr>
      <w:r w:rsidRPr="000612E7">
        <w:rPr>
          <w:rFonts w:ascii="Times New Roman" w:eastAsia="新細明體" w:hAnsi="Times New Roman" w:cs="新細明體" w:hint="eastAsia"/>
          <w:color w:val="333333"/>
          <w:kern w:val="0"/>
          <w:szCs w:val="24"/>
        </w:rPr>
        <w:t>因政府現階段並無規劃開放公務員進入大陸地區進修，為明確相關規範，明定本辦法適用對象之現職人員不得以公務人員訓練進修法第八條規定之進修範圍為事由申請進入大陸地區，以本辦法許可之其他事由申請經許可進入大陸地區，亦不得從事進修活動，爰擬具本辦法第八條修正草案。</w:t>
      </w:r>
    </w:p>
    <w:p w:rsidR="000612E7" w:rsidRPr="000612E7" w:rsidRDefault="000612E7" w:rsidP="000612E7">
      <w:pPr>
        <w:widowControl/>
        <w:spacing w:before="100" w:beforeAutospacing="1" w:after="100" w:afterAutospacing="1"/>
        <w:rPr>
          <w:rFonts w:ascii="新細明體" w:eastAsia="新細明體" w:hAnsi="新細明體" w:cs="新細明體"/>
          <w:color w:val="333333"/>
          <w:kern w:val="0"/>
          <w:szCs w:val="24"/>
        </w:rPr>
      </w:pPr>
      <w:r w:rsidRPr="000612E7">
        <w:rPr>
          <w:rFonts w:ascii="Times New Roman" w:eastAsia="新細明體" w:hAnsi="Times New Roman" w:cs="新細明體" w:hint="eastAsia"/>
          <w:b/>
          <w:bCs/>
          <w:color w:val="333333"/>
          <w:spacing w:val="-2"/>
          <w:kern w:val="0"/>
          <w:szCs w:val="24"/>
        </w:rPr>
        <w:t>臺灣地區公務員及特定身分人員進入大陸地區許可辦法第八條修正草案條文對照表</w:t>
      </w:r>
    </w:p>
    <w:tbl>
      <w:tblPr>
        <w:tblW w:w="907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78"/>
        <w:gridCol w:w="3179"/>
        <w:gridCol w:w="2718"/>
      </w:tblGrid>
      <w:tr w:rsidR="000612E7" w:rsidRPr="000612E7">
        <w:trPr>
          <w:trHeight w:val="113"/>
        </w:trPr>
        <w:tc>
          <w:tcPr>
            <w:tcW w:w="3177" w:type="dxa"/>
            <w:tcBorders>
              <w:top w:val="single" w:sz="4" w:space="0" w:color="auto"/>
              <w:left w:val="single" w:sz="4" w:space="0" w:color="auto"/>
              <w:bottom w:val="single" w:sz="4" w:space="0" w:color="auto"/>
              <w:right w:val="single" w:sz="4" w:space="0" w:color="auto"/>
            </w:tcBorders>
            <w:vAlign w:val="center"/>
            <w:hideMark/>
          </w:tcPr>
          <w:p w:rsidR="000612E7" w:rsidRPr="000612E7" w:rsidRDefault="000612E7" w:rsidP="000612E7">
            <w:pPr>
              <w:widowControl/>
              <w:spacing w:line="113" w:lineRule="atLeast"/>
              <w:ind w:left="490" w:right="48" w:hanging="442"/>
              <w:jc w:val="center"/>
              <w:rPr>
                <w:rFonts w:ascii="新細明體" w:eastAsia="新細明體" w:hAnsi="新細明體" w:cs="新細明體"/>
                <w:color w:val="333333"/>
                <w:kern w:val="0"/>
                <w:szCs w:val="24"/>
              </w:rPr>
            </w:pPr>
            <w:r w:rsidRPr="000612E7">
              <w:rPr>
                <w:rFonts w:ascii="Times New Roman" w:eastAsia="新細明體" w:hAnsi="Times New Roman" w:cs="新細明體" w:hint="eastAsia"/>
                <w:snapToGrid w:val="0"/>
                <w:color w:val="000000"/>
                <w:kern w:val="0"/>
                <w:szCs w:val="24"/>
              </w:rPr>
              <w:t>修　正　條　文</w:t>
            </w:r>
          </w:p>
        </w:tc>
        <w:tc>
          <w:tcPr>
            <w:tcW w:w="3178" w:type="dxa"/>
            <w:tcBorders>
              <w:top w:val="single" w:sz="4" w:space="0" w:color="auto"/>
              <w:left w:val="single" w:sz="4" w:space="0" w:color="auto"/>
              <w:bottom w:val="single" w:sz="4" w:space="0" w:color="auto"/>
              <w:right w:val="single" w:sz="4" w:space="0" w:color="auto"/>
            </w:tcBorders>
            <w:vAlign w:val="center"/>
            <w:hideMark/>
          </w:tcPr>
          <w:p w:rsidR="000612E7" w:rsidRPr="000612E7" w:rsidRDefault="000612E7" w:rsidP="000612E7">
            <w:pPr>
              <w:widowControl/>
              <w:spacing w:line="113" w:lineRule="atLeast"/>
              <w:ind w:left="490" w:right="48" w:hanging="442"/>
              <w:jc w:val="center"/>
              <w:rPr>
                <w:rFonts w:ascii="新細明體" w:eastAsia="新細明體" w:hAnsi="新細明體" w:cs="新細明體"/>
                <w:color w:val="333333"/>
                <w:kern w:val="0"/>
                <w:szCs w:val="24"/>
              </w:rPr>
            </w:pPr>
            <w:r w:rsidRPr="000612E7">
              <w:rPr>
                <w:rFonts w:ascii="Times New Roman" w:eastAsia="新細明體" w:hAnsi="新細明體" w:cs="新細明體" w:hint="eastAsia"/>
                <w:snapToGrid w:val="0"/>
                <w:color w:val="000000"/>
                <w:kern w:val="0"/>
                <w:szCs w:val="24"/>
              </w:rPr>
              <w:t>現　行　條　文</w:t>
            </w:r>
          </w:p>
        </w:tc>
        <w:tc>
          <w:tcPr>
            <w:tcW w:w="2717" w:type="dxa"/>
            <w:tcBorders>
              <w:top w:val="single" w:sz="4" w:space="0" w:color="auto"/>
              <w:left w:val="single" w:sz="4" w:space="0" w:color="auto"/>
              <w:bottom w:val="single" w:sz="4" w:space="0" w:color="auto"/>
              <w:right w:val="single" w:sz="4" w:space="0" w:color="auto"/>
            </w:tcBorders>
            <w:vAlign w:val="center"/>
            <w:hideMark/>
          </w:tcPr>
          <w:p w:rsidR="000612E7" w:rsidRPr="000612E7" w:rsidRDefault="000612E7" w:rsidP="000612E7">
            <w:pPr>
              <w:widowControl/>
              <w:spacing w:line="113" w:lineRule="atLeast"/>
              <w:ind w:left="490" w:right="48" w:hanging="442"/>
              <w:jc w:val="center"/>
              <w:rPr>
                <w:rFonts w:ascii="新細明體" w:eastAsia="新細明體" w:hAnsi="新細明體" w:cs="新細明體"/>
                <w:color w:val="333333"/>
                <w:kern w:val="0"/>
                <w:szCs w:val="24"/>
              </w:rPr>
            </w:pPr>
            <w:r w:rsidRPr="000612E7">
              <w:rPr>
                <w:rFonts w:ascii="Times New Roman" w:eastAsia="新細明體" w:hAnsi="新細明體" w:cs="新細明體" w:hint="eastAsia"/>
                <w:snapToGrid w:val="0"/>
                <w:color w:val="000000"/>
                <w:kern w:val="0"/>
                <w:szCs w:val="24"/>
              </w:rPr>
              <w:t>說　　　　　明</w:t>
            </w:r>
          </w:p>
        </w:tc>
      </w:tr>
      <w:tr w:rsidR="000612E7" w:rsidRPr="000612E7">
        <w:trPr>
          <w:trHeight w:val="113"/>
        </w:trPr>
        <w:tc>
          <w:tcPr>
            <w:tcW w:w="3177" w:type="dxa"/>
            <w:tcBorders>
              <w:top w:val="single" w:sz="4" w:space="0" w:color="auto"/>
              <w:left w:val="single" w:sz="4" w:space="0" w:color="auto"/>
              <w:bottom w:val="single" w:sz="4" w:space="0" w:color="auto"/>
              <w:right w:val="single" w:sz="4" w:space="0" w:color="auto"/>
            </w:tcBorders>
            <w:hideMark/>
          </w:tcPr>
          <w:p w:rsidR="000612E7" w:rsidRPr="000612E7" w:rsidRDefault="000612E7" w:rsidP="000612E7">
            <w:pPr>
              <w:widowControl/>
              <w:ind w:left="268" w:right="48" w:hanging="220"/>
              <w:rPr>
                <w:rFonts w:ascii="新細明體" w:eastAsia="新細明體" w:hAnsi="新細明體" w:cs="新細明體"/>
                <w:color w:val="333333"/>
                <w:kern w:val="0"/>
                <w:szCs w:val="24"/>
              </w:rPr>
            </w:pPr>
            <w:r w:rsidRPr="000612E7">
              <w:rPr>
                <w:rFonts w:ascii="Times New Roman" w:eastAsia="新細明體" w:hAnsi="新細明體" w:cs="新細明體" w:hint="eastAsia"/>
                <w:color w:val="000000"/>
                <w:kern w:val="0"/>
                <w:szCs w:val="24"/>
              </w:rPr>
              <w:t>第八條</w:t>
            </w:r>
            <w:r w:rsidRPr="000612E7">
              <w:rPr>
                <w:rFonts w:ascii="Times New Roman" w:eastAsia="新細明體" w:hAnsi="Times New Roman" w:cs="新細明體" w:hint="eastAsia"/>
                <w:color w:val="000000"/>
                <w:kern w:val="0"/>
                <w:szCs w:val="24"/>
              </w:rPr>
              <w:t xml:space="preserve">　</w:t>
            </w:r>
            <w:r w:rsidRPr="000612E7">
              <w:rPr>
                <w:rFonts w:ascii="Times New Roman" w:eastAsia="新細明體" w:hAnsi="新細明體" w:cs="新細明體" w:hint="eastAsia"/>
                <w:color w:val="000000"/>
                <w:kern w:val="0"/>
                <w:szCs w:val="24"/>
              </w:rPr>
              <w:t>臺灣地區公務員及特定身分人員進入大陸地區，不得有下列情事：</w:t>
            </w:r>
          </w:p>
          <w:p w:rsidR="000612E7" w:rsidRPr="000612E7" w:rsidRDefault="000612E7" w:rsidP="000612E7">
            <w:pPr>
              <w:widowControl/>
              <w:ind w:left="718" w:right="48" w:hanging="442"/>
              <w:rPr>
                <w:rFonts w:ascii="新細明體" w:eastAsia="新細明體" w:hAnsi="新細明體" w:cs="新細明體"/>
                <w:color w:val="333333"/>
                <w:kern w:val="0"/>
                <w:szCs w:val="24"/>
              </w:rPr>
            </w:pPr>
            <w:r w:rsidRPr="000612E7">
              <w:rPr>
                <w:rFonts w:ascii="Times New Roman" w:eastAsia="新細明體" w:hAnsi="Times New Roman" w:cs="新細明體" w:hint="eastAsia"/>
                <w:color w:val="000000"/>
                <w:kern w:val="0"/>
                <w:szCs w:val="24"/>
              </w:rPr>
              <w:t>一、從事妨害國家安全或利益之活動。</w:t>
            </w:r>
          </w:p>
          <w:p w:rsidR="000612E7" w:rsidRPr="000612E7" w:rsidRDefault="000612E7" w:rsidP="000612E7">
            <w:pPr>
              <w:widowControl/>
              <w:ind w:left="718" w:right="48" w:hanging="442"/>
              <w:rPr>
                <w:rFonts w:ascii="新細明體" w:eastAsia="新細明體" w:hAnsi="新細明體" w:cs="新細明體"/>
                <w:color w:val="333333"/>
                <w:kern w:val="0"/>
                <w:szCs w:val="24"/>
              </w:rPr>
            </w:pPr>
            <w:r w:rsidRPr="000612E7">
              <w:rPr>
                <w:rFonts w:ascii="Times New Roman" w:eastAsia="新細明體" w:hAnsi="Times New Roman" w:cs="新細明體" w:hint="eastAsia"/>
                <w:color w:val="000000"/>
                <w:kern w:val="0"/>
                <w:szCs w:val="24"/>
              </w:rPr>
              <w:t>二、</w:t>
            </w:r>
            <w:r w:rsidRPr="000612E7">
              <w:rPr>
                <w:rFonts w:ascii="Times New Roman" w:eastAsia="新細明體" w:hAnsi="新細明體" w:cs="新細明體" w:hint="eastAsia"/>
                <w:color w:val="000000"/>
                <w:kern w:val="0"/>
                <w:szCs w:val="24"/>
              </w:rPr>
              <w:t>違反本條例第五條之一或第三十三條之一第一項規定，擅自與大陸地區人民、法人、團體或其他機關（構），簽署協議或為其他任何形式之合作行為。</w:t>
            </w:r>
          </w:p>
          <w:p w:rsidR="000612E7" w:rsidRPr="000612E7" w:rsidRDefault="000612E7" w:rsidP="000612E7">
            <w:pPr>
              <w:widowControl/>
              <w:ind w:left="718" w:right="48" w:hanging="442"/>
              <w:rPr>
                <w:rFonts w:ascii="新細明體" w:eastAsia="新細明體" w:hAnsi="新細明體" w:cs="新細明體"/>
                <w:color w:val="333333"/>
                <w:kern w:val="0"/>
                <w:szCs w:val="24"/>
              </w:rPr>
            </w:pPr>
            <w:r w:rsidRPr="000612E7">
              <w:rPr>
                <w:rFonts w:ascii="Times New Roman" w:eastAsia="新細明體" w:hAnsi="新細明體" w:cs="新細明體" w:hint="eastAsia"/>
                <w:color w:val="000000"/>
                <w:kern w:val="0"/>
                <w:szCs w:val="24"/>
              </w:rPr>
              <w:t>三、洩漏或交付法令規定應保守秘密之文書、圖畫、消息、物品或資訊。</w:t>
            </w:r>
          </w:p>
          <w:p w:rsidR="000612E7" w:rsidRPr="000612E7" w:rsidRDefault="000612E7" w:rsidP="000612E7">
            <w:pPr>
              <w:widowControl/>
              <w:ind w:left="718" w:right="48" w:hanging="442"/>
              <w:rPr>
                <w:rFonts w:ascii="新細明體" w:eastAsia="新細明體" w:hAnsi="新細明體" w:cs="新細明體"/>
                <w:color w:val="333333"/>
                <w:kern w:val="0"/>
                <w:szCs w:val="24"/>
              </w:rPr>
            </w:pPr>
            <w:r w:rsidRPr="000612E7">
              <w:rPr>
                <w:rFonts w:ascii="Times New Roman" w:eastAsia="新細明體" w:hAnsi="新細明體" w:cs="新細明體" w:hint="eastAsia"/>
                <w:color w:val="000000"/>
                <w:kern w:val="0"/>
                <w:szCs w:val="24"/>
              </w:rPr>
              <w:t>四、從事其他法令所禁止或應經業務主管機關許可而未經許可之事項。</w:t>
            </w:r>
          </w:p>
          <w:p w:rsidR="000612E7" w:rsidRPr="000612E7" w:rsidRDefault="000612E7" w:rsidP="000612E7">
            <w:pPr>
              <w:widowControl/>
              <w:ind w:left="276" w:right="48" w:firstLine="440"/>
              <w:rPr>
                <w:rFonts w:ascii="新細明體" w:eastAsia="新細明體" w:hAnsi="新細明體" w:cs="新細明體"/>
                <w:color w:val="333333"/>
                <w:kern w:val="0"/>
                <w:szCs w:val="24"/>
              </w:rPr>
            </w:pPr>
            <w:r w:rsidRPr="000612E7">
              <w:rPr>
                <w:rFonts w:ascii="Times New Roman" w:eastAsia="新細明體" w:hAnsi="新細明體" w:cs="新細明體" w:hint="eastAsia"/>
                <w:color w:val="000000"/>
                <w:kern w:val="0"/>
                <w:szCs w:val="24"/>
              </w:rPr>
              <w:t>前項人員在大陸地區受強暴、脅迫、利誘或其他手段，致有違反前項規定或相關法令之虞，應立即或於回臺後一個月內通報所屬</w:t>
            </w:r>
            <w:r w:rsidRPr="000612E7">
              <w:rPr>
                <w:rFonts w:ascii="Times New Roman" w:eastAsia="新細明體" w:hAnsi="新細明體" w:cs="新細明體" w:hint="eastAsia"/>
                <w:color w:val="000000"/>
                <w:kern w:val="0"/>
                <w:szCs w:val="24"/>
              </w:rPr>
              <w:lastRenderedPageBreak/>
              <w:t>機關、委託機關或監督機關長官；必要時，請法務部調查局協助處理。</w:t>
            </w:r>
          </w:p>
          <w:p w:rsidR="000612E7" w:rsidRPr="000612E7" w:rsidRDefault="000612E7" w:rsidP="000612E7">
            <w:pPr>
              <w:widowControl/>
              <w:spacing w:line="113" w:lineRule="atLeast"/>
              <w:ind w:left="276" w:right="48" w:firstLine="440"/>
              <w:rPr>
                <w:rFonts w:ascii="新細明體" w:eastAsia="新細明體" w:hAnsi="新細明體" w:cs="新細明體"/>
                <w:color w:val="333333"/>
                <w:kern w:val="0"/>
                <w:szCs w:val="24"/>
              </w:rPr>
            </w:pPr>
            <w:r w:rsidRPr="000612E7">
              <w:rPr>
                <w:rFonts w:ascii="Times New Roman" w:eastAsia="新細明體" w:hAnsi="新細明體" w:cs="新細明體" w:hint="eastAsia"/>
                <w:color w:val="000000"/>
                <w:kern w:val="0"/>
                <w:szCs w:val="24"/>
                <w:u w:val="single"/>
              </w:rPr>
              <w:t>依本辦法申請進入大陸地區之現職人員，不得從事入學進修、選修學分、專題研究等各種型態之進修活動。</w:t>
            </w:r>
          </w:p>
        </w:tc>
        <w:tc>
          <w:tcPr>
            <w:tcW w:w="3178" w:type="dxa"/>
            <w:tcBorders>
              <w:top w:val="single" w:sz="4" w:space="0" w:color="auto"/>
              <w:left w:val="single" w:sz="4" w:space="0" w:color="auto"/>
              <w:bottom w:val="single" w:sz="4" w:space="0" w:color="auto"/>
              <w:right w:val="single" w:sz="4" w:space="0" w:color="auto"/>
            </w:tcBorders>
            <w:hideMark/>
          </w:tcPr>
          <w:p w:rsidR="000612E7" w:rsidRPr="000612E7" w:rsidRDefault="000612E7" w:rsidP="000612E7">
            <w:pPr>
              <w:widowControl/>
              <w:ind w:left="268" w:right="48" w:hanging="220"/>
              <w:rPr>
                <w:rFonts w:ascii="新細明體" w:eastAsia="新細明體" w:hAnsi="新細明體" w:cs="新細明體"/>
                <w:color w:val="333333"/>
                <w:kern w:val="0"/>
                <w:szCs w:val="24"/>
              </w:rPr>
            </w:pPr>
            <w:r w:rsidRPr="000612E7">
              <w:rPr>
                <w:rFonts w:ascii="Times New Roman" w:eastAsia="新細明體" w:hAnsi="新細明體" w:cs="新細明體" w:hint="eastAsia"/>
                <w:color w:val="000000"/>
                <w:kern w:val="0"/>
                <w:szCs w:val="24"/>
              </w:rPr>
              <w:lastRenderedPageBreak/>
              <w:t>第八條</w:t>
            </w:r>
            <w:r w:rsidRPr="000612E7">
              <w:rPr>
                <w:rFonts w:ascii="Times New Roman" w:eastAsia="新細明體" w:hAnsi="Times New Roman" w:cs="新細明體" w:hint="eastAsia"/>
                <w:color w:val="000000"/>
                <w:kern w:val="0"/>
                <w:szCs w:val="24"/>
              </w:rPr>
              <w:t xml:space="preserve">　</w:t>
            </w:r>
            <w:r w:rsidRPr="000612E7">
              <w:rPr>
                <w:rFonts w:ascii="Times New Roman" w:eastAsia="新細明體" w:hAnsi="新細明體" w:cs="新細明體" w:hint="eastAsia"/>
                <w:color w:val="000000"/>
                <w:kern w:val="0"/>
                <w:szCs w:val="24"/>
              </w:rPr>
              <w:t>臺灣地區公務員及特定身分人員進入大陸地區，不得有下列情事：</w:t>
            </w:r>
          </w:p>
          <w:p w:rsidR="000612E7" w:rsidRPr="000612E7" w:rsidRDefault="000612E7" w:rsidP="000612E7">
            <w:pPr>
              <w:widowControl/>
              <w:ind w:left="718" w:right="48" w:hanging="442"/>
              <w:rPr>
                <w:rFonts w:ascii="新細明體" w:eastAsia="新細明體" w:hAnsi="新細明體" w:cs="新細明體"/>
                <w:color w:val="333333"/>
                <w:kern w:val="0"/>
                <w:szCs w:val="24"/>
              </w:rPr>
            </w:pPr>
            <w:r w:rsidRPr="000612E7">
              <w:rPr>
                <w:rFonts w:ascii="Times New Roman" w:eastAsia="新細明體" w:hAnsi="新細明體" w:cs="新細明體" w:hint="eastAsia"/>
                <w:color w:val="000000"/>
                <w:kern w:val="0"/>
                <w:szCs w:val="24"/>
              </w:rPr>
              <w:t>一、</w:t>
            </w:r>
            <w:r w:rsidRPr="000612E7">
              <w:rPr>
                <w:rFonts w:ascii="Times New Roman" w:eastAsia="新細明體" w:hAnsi="Times New Roman" w:cs="新細明體" w:hint="eastAsia"/>
                <w:color w:val="000000"/>
                <w:kern w:val="0"/>
                <w:szCs w:val="24"/>
              </w:rPr>
              <w:t>從事妨害國家安全或利益之活動。</w:t>
            </w:r>
          </w:p>
          <w:p w:rsidR="000612E7" w:rsidRPr="000612E7" w:rsidRDefault="000612E7" w:rsidP="000612E7">
            <w:pPr>
              <w:widowControl/>
              <w:ind w:left="718" w:right="48" w:hanging="442"/>
              <w:rPr>
                <w:rFonts w:ascii="新細明體" w:eastAsia="新細明體" w:hAnsi="新細明體" w:cs="新細明體"/>
                <w:color w:val="333333"/>
                <w:kern w:val="0"/>
                <w:szCs w:val="24"/>
              </w:rPr>
            </w:pPr>
            <w:r w:rsidRPr="000612E7">
              <w:rPr>
                <w:rFonts w:ascii="Times New Roman" w:eastAsia="新細明體" w:hAnsi="新細明體" w:cs="新細明體" w:hint="eastAsia"/>
                <w:color w:val="000000"/>
                <w:kern w:val="0"/>
                <w:szCs w:val="24"/>
              </w:rPr>
              <w:t>二、違反本條例第五條之一或第三十三條之一第一項規定，擅自與大陸地區人民、法人、團體或其他機關（構），簽署協議或為其他任何形式之合作行為。</w:t>
            </w:r>
          </w:p>
          <w:p w:rsidR="000612E7" w:rsidRPr="000612E7" w:rsidRDefault="000612E7" w:rsidP="000612E7">
            <w:pPr>
              <w:widowControl/>
              <w:ind w:left="718" w:right="48" w:hanging="442"/>
              <w:rPr>
                <w:rFonts w:ascii="新細明體" w:eastAsia="新細明體" w:hAnsi="新細明體" w:cs="新細明體"/>
                <w:color w:val="333333"/>
                <w:kern w:val="0"/>
                <w:szCs w:val="24"/>
              </w:rPr>
            </w:pPr>
            <w:r w:rsidRPr="000612E7">
              <w:rPr>
                <w:rFonts w:ascii="Times New Roman" w:eastAsia="新細明體" w:hAnsi="新細明體" w:cs="新細明體" w:hint="eastAsia"/>
                <w:color w:val="000000"/>
                <w:kern w:val="0"/>
                <w:szCs w:val="24"/>
              </w:rPr>
              <w:t>三、洩漏或交付法令規定應保守秘密之文書、圖畫、消息、物品或資訊。</w:t>
            </w:r>
          </w:p>
          <w:p w:rsidR="000612E7" w:rsidRPr="000612E7" w:rsidRDefault="000612E7" w:rsidP="000612E7">
            <w:pPr>
              <w:widowControl/>
              <w:ind w:left="718" w:right="48" w:hanging="442"/>
              <w:rPr>
                <w:rFonts w:ascii="新細明體" w:eastAsia="新細明體" w:hAnsi="新細明體" w:cs="新細明體"/>
                <w:color w:val="333333"/>
                <w:kern w:val="0"/>
                <w:szCs w:val="24"/>
              </w:rPr>
            </w:pPr>
            <w:r w:rsidRPr="000612E7">
              <w:rPr>
                <w:rFonts w:ascii="Times New Roman" w:eastAsia="新細明體" w:hAnsi="新細明體" w:cs="新細明體" w:hint="eastAsia"/>
                <w:color w:val="000000"/>
                <w:kern w:val="0"/>
                <w:szCs w:val="24"/>
              </w:rPr>
              <w:t>四、從事其他法令所禁止或應經業務主管機關許可而未經許可之事項。</w:t>
            </w:r>
          </w:p>
          <w:p w:rsidR="000612E7" w:rsidRPr="000612E7" w:rsidRDefault="000612E7" w:rsidP="000612E7">
            <w:pPr>
              <w:widowControl/>
              <w:spacing w:line="113" w:lineRule="atLeast"/>
              <w:ind w:left="276" w:right="48" w:firstLine="440"/>
              <w:rPr>
                <w:rFonts w:ascii="新細明體" w:eastAsia="新細明體" w:hAnsi="新細明體" w:cs="新細明體"/>
                <w:color w:val="333333"/>
                <w:kern w:val="0"/>
                <w:szCs w:val="24"/>
              </w:rPr>
            </w:pPr>
            <w:r w:rsidRPr="000612E7">
              <w:rPr>
                <w:rFonts w:ascii="Times New Roman" w:eastAsia="新細明體" w:hAnsi="新細明體" w:cs="新細明體" w:hint="eastAsia"/>
                <w:color w:val="000000"/>
                <w:kern w:val="0"/>
                <w:szCs w:val="24"/>
              </w:rPr>
              <w:t>前項人員在大陸地區受強暴、脅迫、利誘或其他手段，致有違反前項規定或相關法令之虞，應立即或於回臺後一個月內通報所屬</w:t>
            </w:r>
            <w:r w:rsidRPr="000612E7">
              <w:rPr>
                <w:rFonts w:ascii="Times New Roman" w:eastAsia="新細明體" w:hAnsi="新細明體" w:cs="新細明體" w:hint="eastAsia"/>
                <w:color w:val="000000"/>
                <w:kern w:val="0"/>
                <w:szCs w:val="24"/>
              </w:rPr>
              <w:lastRenderedPageBreak/>
              <w:t>機關、委託機關或監督機關長官；必要時，請法務部調查局協助處理。</w:t>
            </w:r>
          </w:p>
        </w:tc>
        <w:tc>
          <w:tcPr>
            <w:tcW w:w="2717" w:type="dxa"/>
            <w:tcBorders>
              <w:top w:val="single" w:sz="4" w:space="0" w:color="auto"/>
              <w:left w:val="single" w:sz="4" w:space="0" w:color="auto"/>
              <w:bottom w:val="single" w:sz="4" w:space="0" w:color="auto"/>
              <w:right w:val="single" w:sz="4" w:space="0" w:color="auto"/>
            </w:tcBorders>
            <w:hideMark/>
          </w:tcPr>
          <w:p w:rsidR="000612E7" w:rsidRPr="000612E7" w:rsidRDefault="000612E7" w:rsidP="000612E7">
            <w:pPr>
              <w:widowControl/>
              <w:ind w:left="490" w:right="48" w:hanging="442"/>
              <w:rPr>
                <w:rFonts w:ascii="新細明體" w:eastAsia="新細明體" w:hAnsi="新細明體" w:cs="新細明體"/>
                <w:color w:val="333333"/>
                <w:kern w:val="0"/>
                <w:szCs w:val="24"/>
              </w:rPr>
            </w:pPr>
            <w:r w:rsidRPr="000612E7">
              <w:rPr>
                <w:rFonts w:ascii="Times New Roman" w:eastAsia="新細明體" w:hAnsi="新細明體" w:cs="新細明體" w:hint="eastAsia"/>
                <w:color w:val="000000"/>
                <w:kern w:val="0"/>
                <w:szCs w:val="24"/>
              </w:rPr>
              <w:lastRenderedPageBreak/>
              <w:t>一、政府並無規劃開放公務員進入大陸地區進修之政策，為明確相關規範，明定本辦法適用對象之現職人員，不得以公務人員訓練進修法第八條規定之進修範圍為事由申請進入大陸地區，以其他事由申請經許可進入大陸地區，亦不得從事進修活動，爰增列第三項規定。</w:t>
            </w:r>
          </w:p>
          <w:p w:rsidR="000612E7" w:rsidRPr="000612E7" w:rsidRDefault="000612E7" w:rsidP="000612E7">
            <w:pPr>
              <w:widowControl/>
              <w:spacing w:line="113" w:lineRule="atLeast"/>
              <w:ind w:left="490" w:right="48" w:hanging="442"/>
              <w:rPr>
                <w:rFonts w:ascii="新細明體" w:eastAsia="新細明體" w:hAnsi="新細明體" w:cs="新細明體"/>
                <w:color w:val="333333"/>
                <w:kern w:val="0"/>
                <w:szCs w:val="24"/>
              </w:rPr>
            </w:pPr>
            <w:r w:rsidRPr="000612E7">
              <w:rPr>
                <w:rFonts w:ascii="Times New Roman" w:eastAsia="新細明體" w:hAnsi="新細明體" w:cs="新細明體" w:hint="eastAsia"/>
                <w:color w:val="000000"/>
                <w:kern w:val="0"/>
                <w:szCs w:val="24"/>
              </w:rPr>
              <w:t>二、</w:t>
            </w:r>
            <w:r w:rsidRPr="000612E7">
              <w:rPr>
                <w:rFonts w:ascii="新細明體" w:eastAsia="新細明體" w:hAnsi="新細明體" w:cs="新細明體"/>
                <w:color w:val="000000"/>
                <w:kern w:val="0"/>
                <w:szCs w:val="24"/>
              </w:rPr>
              <w:t xml:space="preserve"> </w:t>
            </w:r>
            <w:r w:rsidRPr="000612E7">
              <w:rPr>
                <w:rFonts w:ascii="Times New Roman" w:eastAsia="新細明體" w:hAnsi="新細明體" w:cs="新細明體" w:hint="eastAsia"/>
                <w:color w:val="000000"/>
                <w:kern w:val="0"/>
                <w:szCs w:val="24"/>
              </w:rPr>
              <w:t>本條增列第三項規定，其所指現職人員，除現職公務員外，尚包括臺灣地區與大陸地區人民關係條例第九條第三項所定國家安全局、國防部、法務部調查局及其所屬各級機關未具公務員</w:t>
            </w:r>
            <w:r w:rsidRPr="000612E7">
              <w:rPr>
                <w:rFonts w:ascii="Times New Roman" w:eastAsia="新細明體" w:hAnsi="新細明體" w:cs="新細明體" w:hint="eastAsia"/>
                <w:color w:val="000000"/>
                <w:kern w:val="0"/>
                <w:szCs w:val="24"/>
              </w:rPr>
              <w:lastRenderedPageBreak/>
              <w:t>身分之人員以及同條例第九條第四項第三款所定人員，考量該等人員身分具機敏性或具準公務員地位，仍屬本次限制進入大陸地區進修之對象。</w:t>
            </w:r>
          </w:p>
        </w:tc>
      </w:tr>
    </w:tbl>
    <w:p w:rsidR="00161E00" w:rsidRPr="000612E7" w:rsidRDefault="00161E00">
      <w:pPr>
        <w:rPr>
          <w:szCs w:val="24"/>
        </w:rPr>
      </w:pPr>
    </w:p>
    <w:sectPr w:rsidR="00161E00" w:rsidRPr="000612E7" w:rsidSect="00161E00">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12E7"/>
    <w:rsid w:val="000612E7"/>
    <w:rsid w:val="00161E00"/>
    <w:rsid w:val="007529DE"/>
    <w:rsid w:val="008C4921"/>
    <w:rsid w:val="008F4648"/>
    <w:rsid w:val="00B507A1"/>
    <w:rsid w:val="00D02C84"/>
    <w:rsid w:val="00D550E1"/>
    <w:rsid w:val="00E61471"/>
    <w:rsid w:val="00E678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E0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1">
    <w:name w:val="021"/>
    <w:basedOn w:val="a"/>
    <w:rsid w:val="000612E7"/>
    <w:pPr>
      <w:widowControl/>
      <w:spacing w:before="100" w:beforeAutospacing="1" w:after="100" w:afterAutospacing="1"/>
    </w:pPr>
    <w:rPr>
      <w:rFonts w:ascii="新細明體" w:eastAsia="新細明體" w:hAnsi="新細明體" w:cs="新細明體"/>
      <w:kern w:val="0"/>
      <w:szCs w:val="24"/>
    </w:rPr>
  </w:style>
  <w:style w:type="paragraph" w:customStyle="1" w:styleId="014">
    <w:name w:val="014"/>
    <w:basedOn w:val="a"/>
    <w:rsid w:val="000612E7"/>
    <w:pPr>
      <w:widowControl/>
      <w:spacing w:before="100" w:beforeAutospacing="1" w:after="100" w:afterAutospacing="1"/>
    </w:pPr>
    <w:rPr>
      <w:rFonts w:ascii="新細明體" w:eastAsia="新細明體" w:hAnsi="新細明體" w:cs="新細明體"/>
      <w:kern w:val="0"/>
      <w:szCs w:val="24"/>
    </w:rPr>
  </w:style>
  <w:style w:type="paragraph" w:customStyle="1" w:styleId="045-2">
    <w:name w:val="045-2"/>
    <w:basedOn w:val="a"/>
    <w:rsid w:val="000612E7"/>
    <w:pPr>
      <w:widowControl/>
      <w:spacing w:before="100" w:beforeAutospacing="1" w:after="100" w:afterAutospacing="1"/>
    </w:pPr>
    <w:rPr>
      <w:rFonts w:ascii="新細明體" w:eastAsia="新細明體" w:hAnsi="新細明體" w:cs="新細明體"/>
      <w:kern w:val="0"/>
      <w:szCs w:val="24"/>
    </w:rPr>
  </w:style>
  <w:style w:type="paragraph" w:customStyle="1" w:styleId="041-">
    <w:name w:val="041-"/>
    <w:basedOn w:val="a"/>
    <w:rsid w:val="000612E7"/>
    <w:pPr>
      <w:widowControl/>
      <w:spacing w:before="100" w:beforeAutospacing="1" w:after="100" w:afterAutospacing="1"/>
    </w:pPr>
    <w:rPr>
      <w:rFonts w:ascii="新細明體" w:eastAsia="新細明體" w:hAnsi="新細明體" w:cs="新細明體"/>
      <w:kern w:val="0"/>
      <w:szCs w:val="24"/>
    </w:rPr>
  </w:style>
  <w:style w:type="paragraph" w:customStyle="1" w:styleId="042-">
    <w:name w:val="042-"/>
    <w:basedOn w:val="a"/>
    <w:rsid w:val="000612E7"/>
    <w:pPr>
      <w:widowControl/>
      <w:spacing w:before="100" w:beforeAutospacing="1" w:after="100" w:afterAutospacing="1"/>
    </w:pPr>
    <w:rPr>
      <w:rFonts w:ascii="新細明體" w:eastAsia="新細明體" w:hAnsi="新細明體" w:cs="新細明體"/>
      <w:kern w:val="0"/>
      <w:szCs w:val="24"/>
    </w:rPr>
  </w:style>
  <w:style w:type="paragraph" w:customStyle="1" w:styleId="043-">
    <w:name w:val="043-"/>
    <w:basedOn w:val="a"/>
    <w:rsid w:val="000612E7"/>
    <w:pPr>
      <w:widowControl/>
      <w:spacing w:before="100" w:beforeAutospacing="1" w:after="100" w:afterAutospacing="1"/>
    </w:pPr>
    <w:rPr>
      <w:rFonts w:ascii="新細明體" w:eastAsia="新細明體" w:hAnsi="新細明體" w:cs="新細明體"/>
      <w:kern w:val="0"/>
      <w:szCs w:val="24"/>
    </w:rPr>
  </w:style>
  <w:style w:type="paragraph" w:customStyle="1" w:styleId="044-1">
    <w:name w:val="044-1"/>
    <w:basedOn w:val="a"/>
    <w:rsid w:val="000612E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4A888-B321-4E6A-A9C2-255CC6690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174</Words>
  <Characters>993</Characters>
  <Application>Microsoft Office Word</Application>
  <DocSecurity>0</DocSecurity>
  <Lines>8</Lines>
  <Paragraphs>2</Paragraphs>
  <ScaleCrop>false</ScaleCrop>
  <Company>MOJ</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張瑞榮</dc:creator>
  <cp:lastModifiedBy>張瑞榮</cp:lastModifiedBy>
  <cp:revision>1</cp:revision>
  <dcterms:created xsi:type="dcterms:W3CDTF">2014-11-11T08:38:00Z</dcterms:created>
  <dcterms:modified xsi:type="dcterms:W3CDTF">2014-11-11T08:43:00Z</dcterms:modified>
</cp:coreProperties>
</file>